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Plympton Open Space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Minutes of Open Virtual Meeting –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May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Held over Zoom Conference Call: zoom.us/j/8802901353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By Telephone: +1 646 558 8656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Meeting ID: 880 290 1353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Password: 948488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Present: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Committee Members: Linda Leddy, Jane Schulze, Alan Wheelock, Jessica Kinsman, Gavin Murphy; Conservation Agent: Brian Vasa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Absent: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Jacqueline Rafferty, Vicki Alberti, Patti Morin</w:t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Others Present: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Rick Burnet, Mark Russo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The meeting was called to order at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7:00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========================================================================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Executive Session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 consider the purchase, exchange, lease or value of real property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if the chair declares that an open meeting may have a detrimental effect on the negotiating position of the public body. (Reason 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Motion (Linda): For the Committee to enter into Executive Session for the purpose of considering the purchase, exchange, lease or value of real property.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Second (Alan)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The Committee entered into an Executive Session with a roll call vote: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Linda Leddy: Aye, Jane Shultze: Aye, Jessica Kinsman: Aye, Alan Wheelock: Aye, Gavin Murphy: Aye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========================================================================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Brooks: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boardwalks have been built, the kiosk will be put out next week, and further trail clearing will be performed.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MVP Grant: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grant for Turkey Swamp was submitted on May 4th. The Town will hear whether the grant was awarded sometime from June 15th-August 22nd.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Warrants: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Reimburse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Jane Schultz $699.06 and Linda Leddy $108.65 from the Two Brooks Contingency Fund. </w:t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Motion (Linda): To approve the above payments from the Two Brooks Contingency (CPC) account.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Second (Jane)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VOTE: All voted unanimously in favor with a roll call vote: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rPr>
          <w:rFonts w:ascii="Arial" w:cs="Arial" w:eastAsia="Arial" w:hAnsi="Arial"/>
          <w:color w:val="1155cc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Linda Leddy: Aye, Jane Shultze: Aye, Jessica Kinsman: Aye, Alan Wheelock: Aye, Gavin Murphy: Aye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Motion to Adjourn: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MOTION (Linda): To adjourn the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SECOND (Jane)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VOTE: All voted unanimously in favor with a roll call vote: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Linda Leddy: Aye, Jane Shultze: Aye, Jessica Kinsman: Aye, Alan Wheelock: Aye, Gavin Murphy: Aye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The meeting was adjourned at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35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The next meeting will be on Thursday, Ju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 9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th at 7pm.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Respectfully recorded and submitted by Brian Vasa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/>
      <w:pict>
        <v:shape id="PowerPlusWaterMarkObject1" style="position:absolute;width:492.0816241719959pt;height:169.77032301861271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DRAFT" style="font-family:&amp;quot;Arial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sRLx9VoPjhcCp6aG3occS7kJow==">AMUW2mXAh7yiV4PSpjzSNiKlVBS/1xLksht9IAqw99E3ldlldSGrwX3zmbKZhZKgRxIkXPtlwPMoOeE9oGsEBuYADKe/aHGL44GEQtMdlc0ChV0ZAbD4jP4=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2021-08-01T21:22:00Z</dcterms:created>
  <dc:creator>linda leddy</dc:creator>
</cp:coreProperties>
</file>